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7E508F">
      <w:r>
        <w:rPr>
          <w:rFonts w:ascii="Arial" w:hAnsi="Arial" w:cs="Arial"/>
          <w:color w:val="242424"/>
          <w:sz w:val="20"/>
          <w:szCs w:val="20"/>
        </w:rPr>
        <w:t>В целях развития сельскохозяйственной кооперации на территории Волгоградской области (в рамках исполнения пункта 3 перечня поручений от 15 августа 2017 года № Пр-1603 по итогам совещания Президента Российской Федерации с членами Правительства Российской Федерации 28 июля 2017 г.) направляем Вам для доведения до сельскохозяйственных кооперативов, крестьянских (фермерских) и личных подсобных хозяйств Алгоритм (пошаговая инструкция) использования сельскохозяйственными кооперативами мер поддержки при открытии и расширении своей деятельности (далее – Алгоритм), разработанный АО «Корпорация «МСП». Алгоритм направляется в целях стимулирования последующего объединения крестьянских (фермерских) хозяйств и личных подсобных хозяйств в кооперативы.</w:t>
      </w:r>
      <w:r>
        <w:rPr>
          <w:rFonts w:ascii="Arial" w:hAnsi="Arial" w:cs="Arial"/>
          <w:color w:val="242424"/>
          <w:sz w:val="20"/>
          <w:szCs w:val="20"/>
        </w:rPr>
        <w:br/>
        <w:t>Алгоритм включает:</w:t>
      </w:r>
      <w:r>
        <w:rPr>
          <w:rFonts w:ascii="Arial" w:hAnsi="Arial" w:cs="Arial"/>
          <w:color w:val="242424"/>
          <w:sz w:val="20"/>
          <w:szCs w:val="20"/>
        </w:rPr>
        <w:br/>
        <w:t>1.    Набор действий по организации сбыта сельскохозяйственной продукции через действующие розничные магазины минуя сетевые магазины (с использованием Портала Бизнес-навигатора МСП (</w:t>
      </w:r>
      <w:hyperlink r:id="rId4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2.    Набор действий по открытию собственного магазина, сети магазинов (с использованием Портала Бизнес-навигатора МСП (</w:t>
      </w:r>
      <w:hyperlink r:id="rId5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3.    Набор действий по открытию интернет-магазина (с использованием Портала Бизнес-навигатора МСП (</w:t>
      </w:r>
      <w:hyperlink r:id="rId6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4.    Набор действий по участию в закупках крупнейших заказчиков у субъектов малого и среднего предпринимательства (с использованием Портала Бизнес-навигатора МСП (</w:t>
      </w:r>
      <w:hyperlink r:id="rId7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5.    Набор действий по получению кредитно-гарантийной и лизинговой поддержки, в том числе в форме прямого кредитования, лизинга оборудования, гарантий и поручительств по кредитам (с использованием Портала Бизнес-навигатора МСП (</w:t>
      </w:r>
      <w:hyperlink r:id="rId8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Электронная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версияАлгоритмаразмещена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на сайте комитета сельского хозяйства Волгоградской области официального портала Губернатора и Администрации Волгоградской области в информационно-телекоммуникационной сети Интернет </w:t>
      </w:r>
      <w:hyperlink r:id="rId9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http://ksh.volgograd.ru/current-activity/granty-kooperativy.php</w:t>
        </w:r>
      </w:hyperlink>
      <w:r>
        <w:rPr>
          <w:rFonts w:ascii="Arial" w:hAnsi="Arial" w:cs="Arial"/>
          <w:color w:val="242424"/>
          <w:sz w:val="20"/>
          <w:szCs w:val="20"/>
        </w:rPr>
        <w:t>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Заместитель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председателя комитета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Л.А.Сюльев</w:t>
      </w:r>
      <w:bookmarkStart w:id="0" w:name="_GoBack"/>
      <w:bookmarkEnd w:id="0"/>
      <w:proofErr w:type="spellEnd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8F"/>
    <w:rsid w:val="001401E0"/>
    <w:rsid w:val="007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ED5C-19E6-43D7-99BE-5E68CD9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b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b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b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mb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mbn.ru/" TargetMode="External"/><Relationship Id="rId9" Type="http://schemas.openxmlformats.org/officeDocument/2006/relationships/hyperlink" Target="http://ksh.volgograd.ru/current-activity/granty-kooperativ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2018-12-06T12:30:00Z</dcterms:created>
  <dcterms:modified xsi:type="dcterms:W3CDTF">2018-12-06T12:30:00Z</dcterms:modified>
</cp:coreProperties>
</file>