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1654A2">
      <w:r>
        <w:rPr>
          <w:rFonts w:ascii="Arial" w:hAnsi="Arial" w:cs="Arial"/>
          <w:color w:val="242424"/>
          <w:sz w:val="20"/>
          <w:szCs w:val="20"/>
        </w:rPr>
        <w:t>АО «Корпорация «МСП» разработан Алгоритм (пошаговая инструкция) использования сельскохозяйственными кооперативами мер поддержки при открытии и расширении своей деятельности в целях стимулирования последующего объединения крестьянских (фермерских) хозяйств и личных подсобных хозяйств в кооперативы.</w:t>
      </w:r>
      <w:r>
        <w:rPr>
          <w:rFonts w:ascii="Arial" w:hAnsi="Arial" w:cs="Arial"/>
          <w:color w:val="242424"/>
          <w:sz w:val="20"/>
          <w:szCs w:val="20"/>
        </w:rPr>
        <w:br/>
        <w:t>  Алгоритм включает:</w:t>
      </w:r>
      <w:r>
        <w:rPr>
          <w:rFonts w:ascii="Arial" w:hAnsi="Arial" w:cs="Arial"/>
          <w:color w:val="242424"/>
          <w:sz w:val="20"/>
          <w:szCs w:val="20"/>
        </w:rPr>
        <w:br/>
        <w:t>  1. Набор действий по организации сбыта сельскохозяйственной продукции через действующие розничные магазины минуя сетевые магазины (с использованием Портала Бизнес-навигатора МСП (</w:t>
      </w:r>
      <w:hyperlink r:id="rId4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https://www.smbn.ru</w:t>
        </w:r>
      </w:hyperlink>
      <w:r>
        <w:rPr>
          <w:rFonts w:ascii="Arial" w:hAnsi="Arial" w:cs="Arial"/>
          <w:color w:val="242424"/>
          <w:sz w:val="20"/>
          <w:szCs w:val="20"/>
        </w:rPr>
        <w:t>));</w:t>
      </w:r>
      <w:r>
        <w:rPr>
          <w:rFonts w:ascii="Arial" w:hAnsi="Arial" w:cs="Arial"/>
          <w:color w:val="242424"/>
          <w:sz w:val="20"/>
          <w:szCs w:val="20"/>
        </w:rPr>
        <w:br/>
        <w:t>  2. Набор действий по открытию собственного магазина, сети магазинов (с использованием Портала Бизнес-навигатора МСП (</w:t>
      </w:r>
      <w:hyperlink r:id="rId5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https://www.smbn.ru</w:t>
        </w:r>
      </w:hyperlink>
      <w:r>
        <w:rPr>
          <w:rFonts w:ascii="Arial" w:hAnsi="Arial" w:cs="Arial"/>
          <w:color w:val="242424"/>
          <w:sz w:val="20"/>
          <w:szCs w:val="20"/>
        </w:rPr>
        <w:t>));</w:t>
      </w:r>
      <w:r>
        <w:rPr>
          <w:rFonts w:ascii="Arial" w:hAnsi="Arial" w:cs="Arial"/>
          <w:color w:val="242424"/>
          <w:sz w:val="20"/>
          <w:szCs w:val="20"/>
        </w:rPr>
        <w:br/>
        <w:t>  3. Набор действий по открытию интернет-магазина, (с использованием Портала Бизнес-навигатора МСП (</w:t>
      </w:r>
      <w:hyperlink r:id="rId6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https://www.smbn.ru</w:t>
        </w:r>
      </w:hyperlink>
      <w:r>
        <w:rPr>
          <w:rFonts w:ascii="Arial" w:hAnsi="Arial" w:cs="Arial"/>
          <w:color w:val="242424"/>
          <w:sz w:val="20"/>
          <w:szCs w:val="20"/>
        </w:rPr>
        <w:t>));</w:t>
      </w:r>
      <w:r>
        <w:rPr>
          <w:rFonts w:ascii="Arial" w:hAnsi="Arial" w:cs="Arial"/>
          <w:color w:val="242424"/>
          <w:sz w:val="20"/>
          <w:szCs w:val="20"/>
        </w:rPr>
        <w:br/>
        <w:t>  4. Набор действий по участию в закупках крупнейших заказчиков у субъектов малого и среднего предпринимательства (с использованием Портала Бизнес-навигатора МСП (</w:t>
      </w:r>
      <w:hyperlink r:id="rId7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https://www.smbn.ru</w:t>
        </w:r>
      </w:hyperlink>
      <w:r>
        <w:rPr>
          <w:rFonts w:ascii="Arial" w:hAnsi="Arial" w:cs="Arial"/>
          <w:color w:val="242424"/>
          <w:sz w:val="20"/>
          <w:szCs w:val="20"/>
        </w:rPr>
        <w:t>));</w:t>
      </w:r>
      <w:r>
        <w:rPr>
          <w:rFonts w:ascii="Arial" w:hAnsi="Arial" w:cs="Arial"/>
          <w:color w:val="242424"/>
          <w:sz w:val="20"/>
          <w:szCs w:val="20"/>
        </w:rPr>
        <w:br/>
        <w:t>   5. Набор действий по получению кредитно-гарантийной и лизинговой поддержки, в том числе в форме прямого кредитования, лизинга оборудования, гарантий и поручительств по кредитам (с использованием Портала Бизнес-навигатора МСП (</w:t>
      </w:r>
      <w:hyperlink r:id="rId8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https://www.smbn.ru</w:t>
        </w:r>
      </w:hyperlink>
      <w:r>
        <w:rPr>
          <w:rFonts w:ascii="Arial" w:hAnsi="Arial" w:cs="Arial"/>
          <w:color w:val="242424"/>
          <w:sz w:val="20"/>
          <w:szCs w:val="20"/>
        </w:rPr>
        <w:t>)).</w:t>
      </w:r>
      <w:r>
        <w:rPr>
          <w:rFonts w:ascii="Arial" w:hAnsi="Arial" w:cs="Arial"/>
          <w:color w:val="242424"/>
          <w:sz w:val="20"/>
          <w:szCs w:val="20"/>
        </w:rPr>
        <w:br/>
        <w:t>   Электронная версия Алгоритма размещена на сайте комитета сельского хозяйства Волгоградской области официального портала Губернатора и Администрации  Волгоградской области в информационно-телекоммуникационной сети Интернет </w:t>
      </w:r>
      <w:hyperlink r:id="rId9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http://ksh.volgograd.ru/current-activiti/granty-kooperativy.php</w:t>
        </w:r>
      </w:hyperlink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A2"/>
    <w:rsid w:val="001401E0"/>
    <w:rsid w:val="001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99668-D32F-4D05-8911-974C303E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b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b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b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mb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mbn.ru/" TargetMode="External"/><Relationship Id="rId9" Type="http://schemas.openxmlformats.org/officeDocument/2006/relationships/hyperlink" Target="http://ksh.volgograd.ru/current-activiti/granty-kooperativ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2018-12-06T12:24:00Z</dcterms:created>
  <dcterms:modified xsi:type="dcterms:W3CDTF">2018-12-06T12:24:00Z</dcterms:modified>
</cp:coreProperties>
</file>